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b w:val="1"/>
          <w:bCs w:val="1"/>
          <w:sz w:val="20"/>
          <w:szCs w:val="20"/>
          <w:rtl w:val="0"/>
        </w:rPr>
        <w:t>ฟอสเตอร์แอนด์พาร์ทเนอร์: ศิลปแห่งสถาปัตยกรรม</w:t>
      </w:r>
    </w:p>
    <w:p>
      <w:pPr>
        <w:pStyle w:val="Body"/>
        <w:rPr>
          <w:sz w:val="20"/>
          <w:szCs w:val="20"/>
        </w:rPr>
      </w:pPr>
      <w:r>
        <w:rPr>
          <w:sz w:val="20"/>
          <w:szCs w:val="20"/>
          <w:rtl w:val="0"/>
        </w:rPr>
        <w:t>ช่วงเวลาจัดแสดง</w:t>
      </w:r>
      <w:r>
        <w:rPr>
          <w:sz w:val="20"/>
          <w:szCs w:val="20"/>
          <w:rtl w:val="0"/>
          <w:lang w:val="en-US"/>
        </w:rPr>
        <w:t>:</w:t>
      </w:r>
      <w:r>
        <w:rPr>
          <w:sz w:val="20"/>
          <w:szCs w:val="20"/>
          <w:rtl w:val="0"/>
        </w:rPr>
        <w:t xml:space="preserve"> เมษายน</w:t>
      </w:r>
      <w:r>
        <w:rPr>
          <w:sz w:val="20"/>
          <w:szCs w:val="20"/>
          <w:rtl w:val="0"/>
        </w:rPr>
        <w:t xml:space="preserve"> -</w:t>
      </w:r>
      <w:r>
        <w:rPr>
          <w:sz w:val="20"/>
          <w:szCs w:val="20"/>
          <w:rtl w:val="0"/>
        </w:rPr>
        <w:t xml:space="preserve"> </w:t>
      </w:r>
      <w:r>
        <w:rPr>
          <w:sz w:val="20"/>
          <w:szCs w:val="20"/>
          <w:rtl w:val="0"/>
        </w:rPr>
        <w:t>มิถุนายน 2557</w:t>
      </w:r>
    </w:p>
    <w:p>
      <w:pPr>
        <w:pStyle w:val="Body"/>
        <w:rPr>
          <w:sz w:val="20"/>
          <w:szCs w:val="20"/>
        </w:rPr>
      </w:pPr>
      <w:r>
        <w:rPr>
          <w:sz w:val="20"/>
          <w:szCs w:val="20"/>
          <w:rtl w:val="0"/>
        </w:rPr>
        <w:t>สถานที่: ห้องนิทรรศการหลัก ชั้น 7 หอศิลปวัฒนธรรมแห่งกรุงเทพมหานคร</w:t>
      </w:r>
    </w:p>
    <w:p>
      <w:pPr>
        <w:pStyle w:val="Body"/>
        <w:rPr>
          <w:sz w:val="20"/>
          <w:szCs w:val="20"/>
        </w:rPr>
      </w:pPr>
    </w:p>
    <w:p>
      <w:pPr>
        <w:pStyle w:val="Body"/>
        <w:rPr>
          <w:sz w:val="20"/>
          <w:szCs w:val="20"/>
        </w:rPr>
      </w:pPr>
      <w:r>
        <w:rPr>
          <w:sz w:val="20"/>
          <w:szCs w:val="20"/>
          <w:rtl w:val="0"/>
        </w:rPr>
        <w:t xml:space="preserve">การจัดนิทรรศการของฟอสเตอร์แอนด์พาร์ทเนอร์ในกรุงเทพฯ </w:t>
      </w:r>
    </w:p>
    <w:p>
      <w:pPr>
        <w:pStyle w:val="Body"/>
        <w:jc w:val="both"/>
        <w:rPr>
          <w:sz w:val="20"/>
          <w:szCs w:val="20"/>
        </w:rPr>
      </w:pPr>
      <w:r>
        <w:rPr>
          <w:sz w:val="20"/>
          <w:szCs w:val="20"/>
          <w:rtl w:val="0"/>
        </w:rPr>
        <w:t>นิทรรศการ</w:t>
      </w:r>
      <w:r>
        <w:rPr>
          <w:b w:val="1"/>
          <w:bCs w:val="1"/>
          <w:sz w:val="20"/>
          <w:szCs w:val="20"/>
          <w:rtl w:val="0"/>
        </w:rPr>
        <w:t xml:space="preserve"> </w:t>
      </w:r>
      <w:r>
        <w:rPr>
          <w:rFonts w:hAnsi="Helvetica" w:hint="default"/>
          <w:b w:val="1"/>
          <w:bCs w:val="1"/>
          <w:sz w:val="20"/>
          <w:szCs w:val="20"/>
          <w:rtl w:val="0"/>
        </w:rPr>
        <w:t>‘</w:t>
      </w:r>
      <w:r>
        <w:rPr>
          <w:b w:val="1"/>
          <w:bCs w:val="1"/>
          <w:sz w:val="20"/>
          <w:szCs w:val="20"/>
          <w:rtl w:val="0"/>
        </w:rPr>
        <w:t>ฟอสเตอร์แอนด์พาร์ทเนอร์: ศิลปแห่งสถาปัตยกรรม</w:t>
      </w:r>
      <w:r>
        <w:rPr>
          <w:rFonts w:hAnsi="Helvetica" w:hint="default"/>
          <w:b w:val="1"/>
          <w:bCs w:val="1"/>
          <w:sz w:val="20"/>
          <w:szCs w:val="20"/>
          <w:rtl w:val="0"/>
          <w:lang w:val="fr-FR"/>
        </w:rPr>
        <w:t xml:space="preserve">’ </w:t>
      </w:r>
      <w:r>
        <w:rPr>
          <w:sz w:val="20"/>
          <w:szCs w:val="20"/>
          <w:rtl w:val="0"/>
        </w:rPr>
        <w:t xml:space="preserve">จะจัดขึ้นที่หอศิลปวัฒนธรรมแห่งกรุงเทพมหานคร (BACC) </w:t>
      </w:r>
      <w:r>
        <w:rPr>
          <w:sz w:val="20"/>
          <w:szCs w:val="20"/>
          <w:rtl w:val="0"/>
        </w:rPr>
        <w:t xml:space="preserve">ในเดือนเมษายนจนถึงเดือนมิถุนายน </w:t>
      </w:r>
      <w:r>
        <w:rPr>
          <w:sz w:val="20"/>
          <w:szCs w:val="20"/>
          <w:rtl w:val="0"/>
        </w:rPr>
        <w:t>พ.ศ. 2557 เป็นนิทรรศการสัญจรครั้งแรกในเมืองไทยที่จะมีการแสดงผลงานโครงการออกแบบสถาปัตยกรรมที่หลากหลายมากที่สุดของบริษัทที่ได้รับการกล่าวขวัญยกย่องอย่างสูงหลังการจัดแสดงที่ประเทศจีนและมาเลเซียมาแล้ว</w:t>
      </w:r>
    </w:p>
    <w:p>
      <w:pPr>
        <w:pStyle w:val="Body"/>
        <w:rPr>
          <w:sz w:val="20"/>
          <w:szCs w:val="20"/>
        </w:rPr>
      </w:pPr>
    </w:p>
    <w:p>
      <w:pPr>
        <w:pStyle w:val="Body"/>
        <w:jc w:val="both"/>
        <w:rPr>
          <w:sz w:val="20"/>
          <w:szCs w:val="20"/>
        </w:rPr>
      </w:pPr>
      <w:r>
        <w:rPr>
          <w:sz w:val="20"/>
          <w:szCs w:val="20"/>
          <w:rtl w:val="0"/>
        </w:rPr>
        <w:t>ฟอสเตอร์แอนด์พาร์ทเนอร์ ภายใต้การนำของนอร์แมน ฟอสเตอร์ ประธานและผู้ก่อตั้งบริษัท เป็นหนึ่งในบริษัทผู้สร้างสรรค์สุดยอดนวัตกรรมการออกแบบและสถาปัตยกรรมของโลกในปัจจุบัน ฟอสเตอร์แอนด์พาร์ทเนอร์มีฐานตั้งอยู่ในกรุงลอนดอนและมีสำนักงานดำเนินโครงการทั่วโลก กว่าสี่สิบปีที่ผ่านมา บริษัทได้คิดค้นพัฒนาวิธีการออกแบบสถาปัตยกรรมและอาคารนิเวศตามแนวทางการพัฒนาที่ยั่งยืน และนำมาใช้ในโครงการที่สำคัญๆ อาทิ ผังแม่บทพัฒนาเมือง โครงสร้างพื้นฐานบริการสาธารณะ สนามบิน อาคารชุมชนและศิลปวัฒนธรรม สำนักงานและสถานประกอบการ ตลอดจนการออกแบบบ้านและการออกแบบผลิตภัณฑ์</w:t>
      </w:r>
    </w:p>
    <w:p>
      <w:pPr>
        <w:pStyle w:val="Body"/>
        <w:rPr>
          <w:sz w:val="20"/>
          <w:szCs w:val="20"/>
        </w:rPr>
      </w:pPr>
    </w:p>
    <w:p>
      <w:pPr>
        <w:pStyle w:val="Body"/>
        <w:jc w:val="both"/>
        <w:rPr>
          <w:sz w:val="20"/>
          <w:szCs w:val="20"/>
        </w:rPr>
      </w:pPr>
      <w:r>
        <w:rPr>
          <w:sz w:val="20"/>
          <w:szCs w:val="20"/>
          <w:rtl w:val="0"/>
        </w:rPr>
        <w:t xml:space="preserve">นิทรรศการครั้งนี้จะนำเสนอเนื้อหาการออกแบบก่อสร้างภายใต้หัวข้อโครงสร้างพื้นฐาน อาคารสูงระฟ้า ประวัติศาสตร์และวัฒนธรรม ทั้งหมดเป็นการออกแบบในบริบทของการพัฒนาที่ยั่งยืน จากผลงานที่นำมาแสดงจะเห็นได้ว่าบริษัทได้ทำการออกแบบสถาปัตยกรรมมากมายหลายโครงการ ในการแสดงนิทรรศการจะมีรายละเอียดโครงการใหม่ๆ ในเอเชีย </w:t>
      </w:r>
    </w:p>
    <w:p>
      <w:pPr>
        <w:pStyle w:val="Body"/>
        <w:rPr>
          <w:sz w:val="20"/>
          <w:szCs w:val="20"/>
        </w:rPr>
      </w:pPr>
    </w:p>
    <w:p>
      <w:pPr>
        <w:pStyle w:val="Body"/>
        <w:rPr>
          <w:b w:val="1"/>
          <w:bCs w:val="1"/>
          <w:sz w:val="20"/>
          <w:szCs w:val="20"/>
        </w:rPr>
      </w:pPr>
      <w:r>
        <w:rPr>
          <w:b w:val="1"/>
          <w:bCs w:val="1"/>
          <w:sz w:val="20"/>
          <w:szCs w:val="20"/>
          <w:rtl w:val="0"/>
        </w:rPr>
        <w:t>www.artofarchitecture.org</w:t>
      </w:r>
    </w:p>
    <w:p>
      <w:pPr>
        <w:pStyle w:val="Body"/>
        <w:rPr>
          <w:sz w:val="20"/>
          <w:szCs w:val="20"/>
        </w:rPr>
      </w:pPr>
    </w:p>
    <w:p>
      <w:pPr>
        <w:pStyle w:val="Body"/>
        <w:rPr>
          <w:sz w:val="20"/>
          <w:szCs w:val="20"/>
        </w:rPr>
      </w:pPr>
      <w:r>
        <w:rPr>
          <w:rFonts w:hAnsi="Helvetica" w:hint="default"/>
          <w:sz w:val="20"/>
          <w:szCs w:val="20"/>
          <w:rtl w:val="0"/>
          <w:lang w:val="en-US"/>
        </w:rPr>
        <w:t>—</w:t>
      </w:r>
    </w:p>
    <w:p>
      <w:pPr>
        <w:pStyle w:val="Body"/>
        <w:rPr>
          <w:sz w:val="20"/>
          <w:szCs w:val="20"/>
        </w:rPr>
      </w:pPr>
    </w:p>
    <w:p>
      <w:pPr>
        <w:pStyle w:val="Body"/>
        <w:rPr>
          <w:sz w:val="20"/>
          <w:szCs w:val="20"/>
        </w:rPr>
      </w:pPr>
      <w:r>
        <w:rPr>
          <w:b w:val="1"/>
          <w:bCs w:val="1"/>
          <w:sz w:val="20"/>
          <w:szCs w:val="20"/>
          <w:rtl w:val="0"/>
          <w:lang w:val="en-US"/>
        </w:rPr>
        <w:t>Foster + Partners: The Art of Architecture</w:t>
      </w:r>
    </w:p>
    <w:p>
      <w:pPr>
        <w:pStyle w:val="Body"/>
        <w:rPr>
          <w:sz w:val="20"/>
          <w:szCs w:val="20"/>
        </w:rPr>
      </w:pPr>
      <w:r>
        <w:rPr>
          <w:sz w:val="20"/>
          <w:szCs w:val="20"/>
          <w:rtl w:val="0"/>
          <w:lang w:val="fr-FR"/>
        </w:rPr>
        <w:t>Date: April - June, 2014</w:t>
      </w:r>
    </w:p>
    <w:p>
      <w:pPr>
        <w:pStyle w:val="Body"/>
        <w:rPr>
          <w:sz w:val="20"/>
          <w:szCs w:val="20"/>
        </w:rPr>
      </w:pPr>
      <w:r>
        <w:rPr>
          <w:sz w:val="20"/>
          <w:szCs w:val="20"/>
          <w:rtl w:val="0"/>
          <w:lang w:val="nl-NL"/>
        </w:rPr>
        <w:t xml:space="preserve">Venue: BACC 7th floor </w:t>
      </w:r>
    </w:p>
    <w:p>
      <w:pPr>
        <w:pStyle w:val="Body"/>
        <w:rPr>
          <w:sz w:val="20"/>
          <w:szCs w:val="20"/>
        </w:rPr>
      </w:pPr>
    </w:p>
    <w:p>
      <w:pPr>
        <w:pStyle w:val="Body"/>
        <w:rPr>
          <w:sz w:val="20"/>
          <w:szCs w:val="20"/>
        </w:rPr>
      </w:pPr>
      <w:r>
        <w:rPr>
          <w:sz w:val="20"/>
          <w:szCs w:val="20"/>
          <w:rtl w:val="0"/>
          <w:lang w:val="en-US"/>
        </w:rPr>
        <w:t xml:space="preserve">Foster + Partners exhibition to open in Bangkok </w:t>
      </w:r>
    </w:p>
    <w:p>
      <w:pPr>
        <w:pStyle w:val="Body"/>
        <w:jc w:val="both"/>
        <w:rPr>
          <w:sz w:val="20"/>
          <w:szCs w:val="20"/>
        </w:rPr>
      </w:pPr>
      <w:r>
        <w:rPr>
          <w:rFonts w:hAnsi="Helvetica" w:hint="default"/>
          <w:b w:val="1"/>
          <w:bCs w:val="1"/>
          <w:sz w:val="20"/>
          <w:szCs w:val="20"/>
          <w:rtl w:val="0"/>
        </w:rPr>
        <w:t>‘</w:t>
      </w:r>
      <w:r>
        <w:rPr>
          <w:b w:val="1"/>
          <w:bCs w:val="1"/>
          <w:sz w:val="20"/>
          <w:szCs w:val="20"/>
          <w:rtl w:val="0"/>
          <w:lang w:val="en-US"/>
        </w:rPr>
        <w:t>Foster + Partners: The Art of Architecture</w:t>
      </w:r>
      <w:r>
        <w:rPr>
          <w:rFonts w:hAnsi="Helvetica" w:hint="default"/>
          <w:b w:val="1"/>
          <w:bCs w:val="1"/>
          <w:sz w:val="20"/>
          <w:szCs w:val="20"/>
          <w:rtl w:val="0"/>
          <w:lang w:val="fr-FR"/>
        </w:rPr>
        <w:t xml:space="preserve">’ </w:t>
      </w:r>
      <w:r>
        <w:rPr>
          <w:sz w:val="20"/>
          <w:szCs w:val="20"/>
          <w:rtl w:val="0"/>
          <w:lang w:val="en-US"/>
        </w:rPr>
        <w:t xml:space="preserve">will be staged at the Bangkok Art and Culture Centre (BACC) from </w:t>
      </w:r>
      <w:r>
        <w:rPr>
          <w:sz w:val="20"/>
          <w:szCs w:val="20"/>
          <w:rtl w:val="0"/>
          <w:lang w:val="en-US"/>
        </w:rPr>
        <w:t>April</w:t>
      </w:r>
      <w:r>
        <w:rPr>
          <w:sz w:val="20"/>
          <w:szCs w:val="20"/>
          <w:rtl w:val="0"/>
          <w:lang w:val="en-US"/>
        </w:rPr>
        <w:t xml:space="preserve"> to </w:t>
      </w:r>
      <w:r>
        <w:rPr>
          <w:sz w:val="20"/>
          <w:szCs w:val="20"/>
          <w:rtl w:val="0"/>
          <w:lang w:val="en-US"/>
        </w:rPr>
        <w:t>June</w:t>
      </w:r>
      <w:r>
        <w:rPr>
          <w:sz w:val="20"/>
          <w:szCs w:val="20"/>
          <w:rtl w:val="0"/>
          <w:lang w:val="en-US"/>
        </w:rPr>
        <w:t xml:space="preserve"> 2014. The touring exhibition is the first survey of the practice</w:t>
      </w:r>
      <w:r>
        <w:rPr>
          <w:rFonts w:hAnsi="Helvetica" w:hint="default"/>
          <w:sz w:val="20"/>
          <w:szCs w:val="20"/>
          <w:rtl w:val="0"/>
          <w:lang w:val="fr-FR"/>
        </w:rPr>
        <w:t>’</w:t>
      </w:r>
      <w:r>
        <w:rPr>
          <w:sz w:val="20"/>
          <w:szCs w:val="20"/>
          <w:rtl w:val="0"/>
          <w:lang w:val="en-US"/>
        </w:rPr>
        <w:t xml:space="preserve">s work in Thailand and follows critically acclaimed shows in China and Malaysia. </w:t>
      </w:r>
    </w:p>
    <w:p>
      <w:pPr>
        <w:pStyle w:val="Body"/>
        <w:rPr>
          <w:sz w:val="20"/>
          <w:szCs w:val="20"/>
        </w:rPr>
      </w:pPr>
    </w:p>
    <w:p>
      <w:pPr>
        <w:pStyle w:val="Body"/>
        <w:jc w:val="both"/>
        <w:rPr>
          <w:sz w:val="20"/>
          <w:szCs w:val="20"/>
        </w:rPr>
      </w:pPr>
      <w:r>
        <w:rPr>
          <w:sz w:val="20"/>
          <w:szCs w:val="20"/>
          <w:rtl w:val="0"/>
        </w:rPr>
        <w:t>Foster + Partners,</w:t>
      </w:r>
      <w:r>
        <w:rPr>
          <w:rFonts w:hAnsi="Helvetica" w:hint="default"/>
          <w:sz w:val="20"/>
          <w:szCs w:val="20"/>
          <w:rtl w:val="0"/>
        </w:rPr>
        <w:t> </w:t>
      </w:r>
      <w:r>
        <w:rPr>
          <w:sz w:val="20"/>
          <w:szCs w:val="20"/>
          <w:rtl w:val="0"/>
          <w:lang w:val="en-US"/>
        </w:rPr>
        <w:t>one of the most</w:t>
      </w:r>
      <w:r>
        <w:rPr>
          <w:rFonts w:hAnsi="Helvetica" w:hint="default"/>
          <w:sz w:val="20"/>
          <w:szCs w:val="20"/>
          <w:rtl w:val="0"/>
        </w:rPr>
        <w:t> </w:t>
      </w:r>
      <w:r>
        <w:rPr>
          <w:sz w:val="20"/>
          <w:szCs w:val="20"/>
          <w:rtl w:val="0"/>
          <w:lang w:val="en-US"/>
        </w:rPr>
        <w:t>innovative architectural practices in the world today, led by Founder and Chairman Norman Foster, is based in London with project offices worldwide. Over the past four decades the practice has pioneered a sustainable approach to architecture and ecology through a strikingly wide range of work, from urban masterplans, public infrastructure, airports, civic and cultural buildings, offices and workplaces to private houses and product design.</w:t>
      </w:r>
    </w:p>
    <w:p>
      <w:pPr>
        <w:pStyle w:val="Body"/>
        <w:rPr>
          <w:sz w:val="20"/>
          <w:szCs w:val="20"/>
        </w:rPr>
      </w:pPr>
    </w:p>
    <w:p>
      <w:pPr>
        <w:pStyle w:val="Body"/>
        <w:jc w:val="both"/>
        <w:rPr>
          <w:sz w:val="20"/>
          <w:szCs w:val="20"/>
        </w:rPr>
      </w:pPr>
      <w:r>
        <w:rPr>
          <w:sz w:val="20"/>
          <w:szCs w:val="20"/>
          <w:rtl w:val="0"/>
          <w:lang w:val="en-US"/>
        </w:rPr>
        <w:t xml:space="preserve">Arranged around the themes of infrastructure, high-rise, urban design, history and culture </w:t>
      </w:r>
      <w:r>
        <w:rPr>
          <w:rFonts w:hAnsi="Helvetica" w:hint="default"/>
          <w:sz w:val="20"/>
          <w:szCs w:val="20"/>
          <w:rtl w:val="0"/>
        </w:rPr>
        <w:t xml:space="preserve">– </w:t>
      </w:r>
      <w:r>
        <w:rPr>
          <w:sz w:val="20"/>
          <w:szCs w:val="20"/>
          <w:rtl w:val="0"/>
          <w:lang w:val="en-US"/>
        </w:rPr>
        <w:t xml:space="preserve">all within the context of a sustainable agenda </w:t>
      </w:r>
      <w:r>
        <w:rPr>
          <w:rFonts w:hAnsi="Helvetica" w:hint="default"/>
          <w:sz w:val="20"/>
          <w:szCs w:val="20"/>
          <w:rtl w:val="0"/>
        </w:rPr>
        <w:t xml:space="preserve">– </w:t>
      </w:r>
      <w:r>
        <w:rPr>
          <w:sz w:val="20"/>
          <w:szCs w:val="20"/>
          <w:rtl w:val="0"/>
          <w:lang w:val="en-US"/>
        </w:rPr>
        <w:t>the works on display highlight the incredible diversity of the practice</w:t>
      </w:r>
      <w:r>
        <w:rPr>
          <w:rFonts w:hAnsi="Helvetica" w:hint="default"/>
          <w:sz w:val="20"/>
          <w:szCs w:val="20"/>
          <w:rtl w:val="0"/>
          <w:lang w:val="fr-FR"/>
        </w:rPr>
        <w:t>’</w:t>
      </w:r>
      <w:r>
        <w:rPr>
          <w:sz w:val="20"/>
          <w:szCs w:val="20"/>
          <w:rtl w:val="0"/>
          <w:lang w:val="en-US"/>
        </w:rPr>
        <w:t xml:space="preserve">s work. Details of new projects underway in Asia will be revealed. </w:t>
      </w:r>
    </w:p>
    <w:p>
      <w:pPr>
        <w:pStyle w:val="Body"/>
        <w:rPr>
          <w:sz w:val="20"/>
          <w:szCs w:val="20"/>
        </w:rPr>
      </w:pPr>
    </w:p>
    <w:p>
      <w:pPr>
        <w:pStyle w:val="Body"/>
        <w:rPr>
          <w:b w:val="1"/>
          <w:bCs w:val="1"/>
          <w:sz w:val="20"/>
          <w:szCs w:val="20"/>
        </w:rPr>
      </w:pPr>
      <w:r>
        <w:rPr>
          <w:b w:val="1"/>
          <w:bCs w:val="1"/>
          <w:sz w:val="20"/>
          <w:szCs w:val="20"/>
          <w:rtl w:val="0"/>
        </w:rPr>
        <w:t xml:space="preserve">www.artofarchitecture.org </w:t>
      </w:r>
    </w:p>
    <w:p>
      <w:pPr>
        <w:pStyle w:val="Body"/>
        <w:rPr>
          <w:sz w:val="20"/>
          <w:szCs w:val="20"/>
        </w:rPr>
      </w:pPr>
    </w:p>
    <w:p>
      <w:pPr>
        <w:pStyle w:val="Body"/>
      </w:pPr>
      <w:r>
        <w:rPr>
          <w:rFonts w:hAnsi="Helvetica" w:hint="default"/>
          <w:sz w:val="20"/>
          <w:szCs w:val="20"/>
          <w:rtl w:val="0"/>
          <w:lang w:val="en-US"/>
        </w:rPr>
        <w:t>—</w:t>
      </w:r>
    </w:p>
    <w:sectPr>
      <w:headerReference w:type="default" r:id="rId4"/>
      <w:footerReference w:type="default" r:id="rId5"/>
      <w:pgSz w:w="11900" w:h="16840" w:orient="portrait"/>
      <w:pgMar w:top="1440" w:right="1440" w:bottom="1134" w:left="1440" w:header="360" w:footer="64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ท้ายกระดาษ1"/>
      <w:tabs>
        <w:tab w:val="right" w:pos="9000"/>
        <w:tab w:val="clear" w:pos="9026"/>
      </w:tabs>
      <w:jc w:val="center"/>
      <w:rPr>
        <w:rFonts w:ascii="Helvetica" w:cs="Helvetica" w:hAnsi="Helvetica" w:eastAsia="Helvetica"/>
        <w:sz w:val="12"/>
        <w:szCs w:val="12"/>
      </w:rPr>
    </w:pPr>
    <w:r>
      <w:rPr>
        <w:rFonts w:ascii="Helvetica"/>
        <w:sz w:val="12"/>
        <w:szCs w:val="12"/>
        <w:rtl w:val="0"/>
        <w:lang w:val="en-US"/>
      </w:rPr>
      <w:t>หอศิลปวัฒนธรรมแห่งกรุงเทพมหานคร  939 ถ.พระราม1 แขวงวังใหม่เขตปทุมวันกรุงเทพฯ 10330 โทรศัพท์  02</w:t>
    </w:r>
    <w:r>
      <w:rPr>
        <w:rFonts w:hAnsi="Trebuchet MS" w:hint="default"/>
        <w:sz w:val="12"/>
        <w:szCs w:val="12"/>
        <w:rtl w:val="0"/>
        <w:lang w:val="en-US"/>
      </w:rPr>
      <w:t>–</w:t>
    </w:r>
    <w:r>
      <w:rPr>
        <w:rFonts w:ascii="Helvetica"/>
        <w:sz w:val="12"/>
        <w:szCs w:val="12"/>
        <w:rtl w:val="0"/>
        <w:lang w:val="en-US"/>
      </w:rPr>
      <w:t xml:space="preserve">214 </w:t>
    </w:r>
    <w:r>
      <w:rPr>
        <w:rFonts w:hAnsi="Trebuchet MS" w:hint="default"/>
        <w:sz w:val="12"/>
        <w:szCs w:val="12"/>
        <w:rtl w:val="0"/>
        <w:lang w:val="en-US"/>
      </w:rPr>
      <w:t>–</w:t>
    </w:r>
    <w:r>
      <w:rPr>
        <w:rFonts w:ascii="Helvetica"/>
        <w:sz w:val="12"/>
        <w:szCs w:val="12"/>
        <w:rtl w:val="0"/>
        <w:lang w:val="en-US"/>
      </w:rPr>
      <w:t xml:space="preserve">6630 </w:t>
    </w:r>
    <w:r>
      <w:rPr>
        <w:rFonts w:hAnsi="Trebuchet MS" w:hint="default"/>
        <w:sz w:val="12"/>
        <w:szCs w:val="12"/>
        <w:rtl w:val="0"/>
        <w:lang w:val="en-US"/>
      </w:rPr>
      <w:t>–</w:t>
    </w:r>
    <w:r>
      <w:rPr>
        <w:rFonts w:ascii="Helvetica"/>
        <w:sz w:val="12"/>
        <w:szCs w:val="12"/>
        <w:rtl w:val="0"/>
        <w:lang w:val="en-US"/>
      </w:rPr>
      <w:t>38 โทรสาร  02</w:t>
    </w:r>
    <w:r>
      <w:rPr>
        <w:rFonts w:hAnsi="Trebuchet MS" w:hint="default"/>
        <w:sz w:val="12"/>
        <w:szCs w:val="12"/>
        <w:rtl w:val="0"/>
        <w:lang w:val="en-US"/>
      </w:rPr>
      <w:t>–</w:t>
    </w:r>
    <w:r>
      <w:rPr>
        <w:rFonts w:ascii="Helvetica"/>
        <w:sz w:val="12"/>
        <w:szCs w:val="12"/>
        <w:rtl w:val="0"/>
        <w:lang w:val="en-US"/>
      </w:rPr>
      <w:t>214</w:t>
    </w:r>
    <w:r>
      <w:rPr>
        <w:rFonts w:hAnsi="Trebuchet MS" w:hint="default"/>
        <w:sz w:val="12"/>
        <w:szCs w:val="12"/>
        <w:rtl w:val="0"/>
        <w:lang w:val="en-US"/>
      </w:rPr>
      <w:t>–</w:t>
    </w:r>
    <w:r>
      <w:rPr>
        <w:rFonts w:ascii="Helvetica"/>
        <w:sz w:val="12"/>
        <w:szCs w:val="12"/>
        <w:rtl w:val="0"/>
        <w:lang w:val="en-US"/>
      </w:rPr>
      <w:t>6639 www.bacc.or.th</w:t>
    </w:r>
  </w:p>
  <w:p>
    <w:pPr>
      <w:pStyle w:val="ท้ายกระดาษ1"/>
      <w:tabs>
        <w:tab w:val="right" w:pos="9000"/>
        <w:tab w:val="clear" w:pos="9026"/>
      </w:tabs>
      <w:jc w:val="center"/>
    </w:pPr>
    <w:r>
      <w:rPr>
        <w:rFonts w:ascii="Helvetica"/>
        <w:sz w:val="12"/>
        <w:szCs w:val="12"/>
        <w:rtl w:val="0"/>
        <w:lang w:val="en-US"/>
      </w:rPr>
      <w:t>Bangkok Art and Culture Centre 939 Rama I Rd. Wangmai, Pathumwan, Bangkok 10330 Tel 02</w:t>
    </w:r>
    <w:r>
      <w:rPr>
        <w:rFonts w:hAnsi="Trebuchet MS" w:hint="default"/>
        <w:sz w:val="12"/>
        <w:szCs w:val="12"/>
        <w:rtl w:val="0"/>
        <w:lang w:val="en-US"/>
      </w:rPr>
      <w:t>–</w:t>
    </w:r>
    <w:r>
      <w:rPr>
        <w:rFonts w:ascii="Helvetica"/>
        <w:sz w:val="12"/>
        <w:szCs w:val="12"/>
        <w:rtl w:val="0"/>
        <w:lang w:val="en-US"/>
      </w:rPr>
      <w:t>214</w:t>
    </w:r>
    <w:r>
      <w:rPr>
        <w:rFonts w:hAnsi="Trebuchet MS" w:hint="default"/>
        <w:sz w:val="12"/>
        <w:szCs w:val="12"/>
        <w:rtl w:val="0"/>
        <w:lang w:val="en-US"/>
      </w:rPr>
      <w:t>–</w:t>
    </w:r>
    <w:r>
      <w:rPr>
        <w:rFonts w:ascii="Helvetica"/>
        <w:sz w:val="12"/>
        <w:szCs w:val="12"/>
        <w:rtl w:val="0"/>
        <w:lang w:val="en-US"/>
      </w:rPr>
      <w:t>6630-8 Fax 02</w:t>
    </w:r>
    <w:r>
      <w:rPr>
        <w:rFonts w:hAnsi="Trebuchet MS" w:hint="default"/>
        <w:sz w:val="12"/>
        <w:szCs w:val="12"/>
        <w:rtl w:val="0"/>
        <w:lang w:val="en-US"/>
      </w:rPr>
      <w:t>–</w:t>
    </w:r>
    <w:r>
      <w:rPr>
        <w:rFonts w:ascii="Helvetica"/>
        <w:sz w:val="12"/>
        <w:szCs w:val="12"/>
        <w:rtl w:val="0"/>
        <w:lang w:val="en-US"/>
      </w:rPr>
      <w:t>214</w:t>
    </w:r>
    <w:r>
      <w:rPr>
        <w:rFonts w:hAnsi="Trebuchet MS" w:hint="default"/>
        <w:sz w:val="12"/>
        <w:szCs w:val="12"/>
        <w:rtl w:val="0"/>
        <w:lang w:val="en-US"/>
      </w:rPr>
      <w:t>–</w:t>
    </w:r>
    <w:r>
      <w:rPr>
        <w:rFonts w:ascii="Helvetica"/>
        <w:sz w:val="12"/>
        <w:szCs w:val="12"/>
        <w:rtl w:val="0"/>
        <w:lang w:val="en-US"/>
      </w:rPr>
      <w:t>6639</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หัวกระดาษ1"/>
      <w:rPr>
        <w:u w:color="bfbfbf"/>
      </w:rPr>
    </w:pPr>
  </w:p>
  <w:p>
    <w:pPr>
      <w:pStyle w:val="หัวกระดาษ1"/>
    </w:pPr>
    <w:r>
      <w:rPr>
        <w:rFonts w:ascii="Times New Roman"/>
        <w:rtl w:val="0"/>
      </w:rPr>
      <w:drawing>
        <wp:inline distT="0" distB="0" distL="0" distR="0">
          <wp:extent cx="1762125" cy="688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l="0" t="0" r="0" b="0"/>
                  <a:stretch>
                    <a:fillRect/>
                  </a:stretch>
                </pic:blipFill>
                <pic:spPr>
                  <a:xfrm>
                    <a:off x="0" y="0"/>
                    <a:ext cx="1762125" cy="688975"/>
                  </a:xfrm>
                  <a:prstGeom prst="rect">
                    <a:avLst/>
                  </a:prstGeom>
                  <a:noFill/>
                  <a:ln>
                    <a:noFill/>
                  </a:ln>
                  <a:effectLst/>
                  <a:extLst/>
                </pic:spPr>
              </pic:pic>
            </a:graphicData>
          </a:graphic>
        </wp:inline>
      </w:drawing>
    </w:r>
    <w:r>
      <w:rPr>
        <w:rtl w:val="0"/>
      </w:rPr>
      <w:tab/>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หัวกระดาษ1">
    <w:name w:val="หัวกระดาษ1"/>
    <w:next w:val="หัวกระดาษ1"/>
    <w:pPr>
      <w:keepNext w:val="0"/>
      <w:keepLines w:val="0"/>
      <w:pageBreakBefore w:val="0"/>
      <w:widowControl w:val="1"/>
      <w:pBdr>
        <w:top w:val="nil"/>
        <w:left w:val="nil"/>
        <w:bottom w:val="nil"/>
        <w:right w:val="nil"/>
      </w:pBdr>
      <w:shd w:val="clear" w:color="auto" w:fill="auto"/>
      <w:tabs>
        <w:tab w:val="left" w:pos="177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a6a6a6"/>
      <w:vertAlign w:val="baseline"/>
      <w:lang w:val="en-US"/>
    </w:rPr>
  </w:style>
  <w:style w:type="paragraph" w:styleId="ท้ายกระดาษ1">
    <w:name w:val="ท้ายกระดาษ1"/>
    <w:next w:val="ท้ายกระดาษ1"/>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